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5616B" w:rsidRPr="0088126D" w:rsidTr="0066621D">
        <w:trPr>
          <w:trHeight w:val="3109"/>
          <w:jc w:val="center"/>
        </w:trPr>
        <w:tc>
          <w:tcPr>
            <w:tcW w:w="5596" w:type="dxa"/>
          </w:tcPr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0BE5275" wp14:editId="606E211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Pr="0088126D" w:rsidRDefault="0075616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AA20C4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5616B" w:rsidRPr="0088126D" w:rsidRDefault="0075616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75616B" w:rsidRDefault="0075616B" w:rsidP="0075616B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33739D7" wp14:editId="18B2B963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616B" w:rsidRPr="008728B2" w:rsidRDefault="0075616B" w:rsidP="0075616B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5616B" w:rsidRDefault="0075616B" w:rsidP="0075616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5616B" w:rsidRPr="00C27680" w:rsidRDefault="0075616B" w:rsidP="0075616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5065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г.Екатеринбург, Ленинский 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75616B" w:rsidRPr="008728B2" w:rsidRDefault="0075616B" w:rsidP="0075616B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5616B" w:rsidRDefault="0075616B" w:rsidP="0075616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5616B" w:rsidRPr="00C27680" w:rsidRDefault="0075616B" w:rsidP="0075616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5065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г.Екатеринбург, Ленинский 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5616B" w:rsidRDefault="0075616B" w:rsidP="0075616B">
              <w:pPr>
                <w:rPr>
                  <w:rFonts w:ascii="Arial" w:hAnsi="Arial" w:cs="Arial"/>
                  <w:sz w:val="24"/>
                </w:rPr>
              </w:pPr>
            </w:p>
            <w:p w:rsidR="0075616B" w:rsidRPr="00AC55F1" w:rsidRDefault="0075616B" w:rsidP="0075616B">
              <w:pPr>
                <w:rPr>
                  <w:rFonts w:ascii="Arial" w:hAnsi="Arial" w:cs="Arial"/>
                  <w:sz w:val="24"/>
                </w:rPr>
              </w:pPr>
            </w:p>
            <w:p w:rsidR="0075616B" w:rsidRPr="00555E3C" w:rsidRDefault="00DD61BD" w:rsidP="0075616B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75616B" w:rsidRDefault="0075616B" w:rsidP="0075616B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7EBAFF" wp14:editId="67D88CAB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5616B" w:rsidRPr="00737AAE" w:rsidRDefault="0075616B" w:rsidP="0075616B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75616B" w:rsidRPr="00737AAE" w:rsidRDefault="0075616B" w:rsidP="0075616B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75616B" w:rsidRDefault="0075616B" w:rsidP="0075616B"/>
    <w:p w:rsidR="0075616B" w:rsidRDefault="0075616B" w:rsidP="0075616B"/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419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6671184692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23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6671338007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- 100%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AA20C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A20C4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режиме, графике работы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контактных телефонах и об адресах электронной почты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D86F5C" w:rsidRPr="001A3FF9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D86F5C" w:rsidRPr="00975C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D86F5C" w:rsidRPr="00AA20C4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B72222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71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6661075454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5616B" w:rsidRPr="00AA20C4">
        <w:rPr>
          <w:rFonts w:ascii="Arial" w:hAnsi="Arial" w:cs="Arial"/>
          <w:noProof/>
          <w:sz w:val="24"/>
          <w:szCs w:val="24"/>
        </w:rPr>
        <w:t>полноту</w:t>
      </w:r>
      <w:r w:rsidRPr="00AA20C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195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6661058360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AA20C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A20C4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5616B" w:rsidRPr="00AA20C4">
        <w:rPr>
          <w:rFonts w:ascii="Arial" w:hAnsi="Arial" w:cs="Arial"/>
          <w:noProof/>
          <w:sz w:val="24"/>
          <w:szCs w:val="24"/>
        </w:rPr>
        <w:t>полноту</w:t>
      </w:r>
      <w:r w:rsidRPr="00AA20C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86F5C" w:rsidRPr="008E7C70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341C4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    № 160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6661082902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29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6661082684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5616B" w:rsidRPr="00AA20C4">
        <w:rPr>
          <w:rFonts w:ascii="Arial" w:hAnsi="Arial" w:cs="Arial"/>
          <w:noProof/>
          <w:sz w:val="24"/>
          <w:szCs w:val="24"/>
        </w:rPr>
        <w:t>полноту</w:t>
      </w:r>
      <w:r w:rsidRPr="00AA20C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компенсирующего вида № 46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6661082701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AA20C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A20C4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5616B" w:rsidRPr="00AA20C4">
        <w:rPr>
          <w:rFonts w:ascii="Arial" w:hAnsi="Arial" w:cs="Arial"/>
          <w:noProof/>
          <w:sz w:val="24"/>
          <w:szCs w:val="24"/>
        </w:rPr>
        <w:t>полноту</w:t>
      </w:r>
      <w:r w:rsidRPr="00AA20C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B72222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D10638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88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6661082839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AA20C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A20C4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5616B" w:rsidRPr="00AA20C4">
        <w:rPr>
          <w:rFonts w:ascii="Arial" w:hAnsi="Arial" w:cs="Arial"/>
          <w:noProof/>
          <w:sz w:val="24"/>
          <w:szCs w:val="24"/>
        </w:rPr>
        <w:t>полноту</w:t>
      </w:r>
      <w:r w:rsidRPr="00AA20C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D86F5C" w:rsidRPr="008E7C70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D86F5C" w:rsidRPr="00B72222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AA20C4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Pr="00D10638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D86F5C" w:rsidRPr="00AA20C4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553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6661082726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сад   № 156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6661076031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AA20C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A20C4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A20C4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5616B" w:rsidRPr="00AA20C4">
        <w:rPr>
          <w:rFonts w:ascii="Arial" w:hAnsi="Arial" w:cs="Arial"/>
          <w:noProof/>
          <w:sz w:val="24"/>
          <w:szCs w:val="24"/>
        </w:rPr>
        <w:t>полноту</w:t>
      </w:r>
      <w:r w:rsidRPr="00AA20C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AA20C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A20C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  № 26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6661075790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№573 «Мозаика»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6661082814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347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6661083102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компенсирующего вида № 49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6661083021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Pr="008E7C70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D86F5C" w:rsidRPr="00B72222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79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6661082733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сад   № 37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6661082892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- 25%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975C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D86F5C" w:rsidRPr="00D10638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77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6661075782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386 «Знайка»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6661076049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55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6661082878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компенсирующего вида № 342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6661082691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455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6661076747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- 11%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D10638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№54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6661075447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- 7%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31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6661083134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EB4BD3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365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6661082885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451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6661082941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114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6661075800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№ 40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6661083092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D86F5C" w:rsidRPr="00D10638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  № 73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6671184710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- 40%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 № 233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6671184195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465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6671184188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3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21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6671184727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381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Pr="00D10638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50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6671184702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детский сад № 301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6671256756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366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6661066724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496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6661075430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222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6671273007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561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6671314550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- детский сад № 209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6671273039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38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6671289448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6671312680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4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449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6671343078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- 11%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6671396560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6671404877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61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6671427899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6671431207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- 67%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278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6671427881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- 19%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86F5C" w:rsidRPr="008E7C70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D86F5C" w:rsidRPr="00B72222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Pr="00D10638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82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6671003441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- 24%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119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6671016810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B72222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86F5C" w:rsidRPr="00AE0A8B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39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6671431197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- 11%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5616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Pr="00C11E1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86F5C" w:rsidRPr="00EB4BD3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32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6671431214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86F5C" w:rsidRPr="000972BF" w:rsidRDefault="00D86F5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D86F5C" w:rsidRPr="00EB4BD3" w:rsidRDefault="00D86F5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5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8728B2" w:rsidRDefault="00D86F5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126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6671016828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86F5C" w:rsidRPr="002A7AC2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Ленинский  район</w:t>
      </w:r>
    </w:p>
    <w:p w:rsidR="00D86F5C" w:rsidRDefault="00D86F5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86F5C" w:rsidRPr="00BC4A8C" w:rsidRDefault="00D86F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86F5C" w:rsidRPr="00287D74" w:rsidRDefault="00D86F5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86F5C" w:rsidRPr="00287D74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1E6000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23531D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3531D" w:rsidRDefault="00D86F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98226D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86F5C" w:rsidRPr="003A35E8" w:rsidRDefault="00D86F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287D74" w:rsidRDefault="00D86F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Pr="003A35E8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86F5C" w:rsidRDefault="00D86F5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86F5C" w:rsidRPr="00287D74" w:rsidRDefault="00D86F5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86F5C" w:rsidRPr="003079C2" w:rsidRDefault="00D86F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86F5C" w:rsidRPr="00287D74" w:rsidRDefault="00D86F5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86F5C" w:rsidRPr="00287D74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053FC0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D86F5C" w:rsidRPr="00BC4A8C" w:rsidRDefault="00D86F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D86F5C" w:rsidRDefault="00D86F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6F5C" w:rsidRPr="006C41E4" w:rsidRDefault="00D86F5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86F5C" w:rsidRPr="00B72222" w:rsidRDefault="00D86F5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86F5C" w:rsidRPr="00EB4BD3" w:rsidRDefault="00D86F5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86F5C" w:rsidRPr="00EB4BD3" w:rsidRDefault="00D86F5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86F5C" w:rsidRDefault="00D86F5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86F5C" w:rsidRPr="00C11E1F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86F5C" w:rsidRPr="00EB4BD3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86F5C" w:rsidRPr="00006380" w:rsidRDefault="00D86F5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86F5C" w:rsidRPr="002F6895" w:rsidRDefault="00D86F5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86F5C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86F5C" w:rsidSect="00D86F5C">
          <w:footerReference w:type="default" r:id="rId6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86F5C" w:rsidRPr="002F6895" w:rsidRDefault="00D86F5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D86F5C" w:rsidRPr="002F6895" w:rsidSect="00D86F5C">
      <w:footerReference w:type="default" r:id="rId6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BD" w:rsidRDefault="00DD61BD" w:rsidP="00287D74">
      <w:pPr>
        <w:spacing w:after="0" w:line="240" w:lineRule="auto"/>
      </w:pPr>
      <w:r>
        <w:separator/>
      </w:r>
    </w:p>
  </w:endnote>
  <w:endnote w:type="continuationSeparator" w:id="0">
    <w:p w:rsidR="00DD61BD" w:rsidRDefault="00DD61BD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0707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4669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02114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1165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40023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264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778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2987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99201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6008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31214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9666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59592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08830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44957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5449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2041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1636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215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6499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9802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01218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1494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95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8377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7773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0575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1575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5166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9075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9634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1617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284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0227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4647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0767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24336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7621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3550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36758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8788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90352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68748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3363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464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7858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1490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5616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B4456" w:rsidRPr="0071295F" w:rsidRDefault="004B4456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1607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B4456" w:rsidRDefault="004B4456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3749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5084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7855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7373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86F5C" w:rsidRPr="0071295F" w:rsidRDefault="00D86F5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A20C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86F5C" w:rsidRDefault="00D86F5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BD" w:rsidRDefault="00DD61BD" w:rsidP="00287D74">
      <w:pPr>
        <w:spacing w:after="0" w:line="240" w:lineRule="auto"/>
      </w:pPr>
      <w:r>
        <w:separator/>
      </w:r>
    </w:p>
  </w:footnote>
  <w:footnote w:type="continuationSeparator" w:id="0">
    <w:p w:rsidR="00DD61BD" w:rsidRDefault="00DD61BD" w:rsidP="00287D74">
      <w:pPr>
        <w:spacing w:after="0" w:line="240" w:lineRule="auto"/>
      </w:pPr>
      <w:r>
        <w:continuationSeparator/>
      </w:r>
    </w:p>
  </w:footnote>
  <w:footnote w:id="1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0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1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2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3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4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5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6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7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8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9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0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1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2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3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4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5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6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7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8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9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0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1">
    <w:p w:rsidR="00D86F5C" w:rsidRPr="00BB03FE" w:rsidRDefault="00D86F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16070"/>
    <w:rsid w:val="00333FD5"/>
    <w:rsid w:val="00341C48"/>
    <w:rsid w:val="003947D3"/>
    <w:rsid w:val="003A25D7"/>
    <w:rsid w:val="003A35E8"/>
    <w:rsid w:val="0041570F"/>
    <w:rsid w:val="00472B7D"/>
    <w:rsid w:val="00477F49"/>
    <w:rsid w:val="004B4456"/>
    <w:rsid w:val="004E30BA"/>
    <w:rsid w:val="0052537B"/>
    <w:rsid w:val="005262AA"/>
    <w:rsid w:val="005701B2"/>
    <w:rsid w:val="005903F5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5616B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A20C4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86F5C"/>
    <w:rsid w:val="00D97701"/>
    <w:rsid w:val="00DA0F73"/>
    <w:rsid w:val="00DD61BD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8" Type="http://schemas.openxmlformats.org/officeDocument/2006/relationships/endnotes" Target="endnotes.xml"/><Relationship Id="rId51" Type="http://schemas.openxmlformats.org/officeDocument/2006/relationships/footer" Target="footer42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9CE4D-3381-4ADF-8F80-76B39E82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149</Pages>
  <Words>54719</Words>
  <Characters>311902</Characters>
  <Application>Microsoft Office Word</Application>
  <DocSecurity>0</DocSecurity>
  <Lines>2599</Lines>
  <Paragraphs>731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365890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2019-12-23T00:42:00Z</dcterms:created>
  <dcterms:modified xsi:type="dcterms:W3CDTF">2019-12-28T06:11:00Z</dcterms:modified>
</cp:coreProperties>
</file>